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CC5E0" w14:textId="77777777" w:rsidR="00A20DA7" w:rsidRDefault="00A20DA7" w:rsidP="000D3EB7">
      <w:pPr>
        <w:shd w:val="clear" w:color="auto" w:fill="FFFFFF"/>
        <w:spacing w:after="0" w:line="270" w:lineRule="atLeast"/>
        <w:jc w:val="center"/>
        <w:outlineLvl w:val="2"/>
        <w:rPr>
          <w:rFonts w:ascii="Times New Roman" w:eastAsia="Times New Roman" w:hAnsi="Times New Roman" w:cs="Times New Roman"/>
          <w:b/>
          <w:bCs/>
          <w:color w:val="000000" w:themeColor="text1"/>
          <w:sz w:val="28"/>
          <w:szCs w:val="28"/>
          <w:lang w:eastAsia="ru-RU"/>
        </w:rPr>
      </w:pPr>
      <w:r w:rsidRPr="00A20DA7">
        <w:rPr>
          <w:rFonts w:ascii="Times New Roman" w:eastAsia="Times New Roman" w:hAnsi="Times New Roman" w:cs="Times New Roman"/>
          <w:b/>
          <w:bCs/>
          <w:color w:val="000000" w:themeColor="text1"/>
          <w:sz w:val="28"/>
          <w:szCs w:val="28"/>
          <w:lang w:eastAsia="ru-RU"/>
        </w:rPr>
        <w:t xml:space="preserve">Прием и рассмотрение апелляций </w:t>
      </w:r>
      <w:r w:rsidR="000D3EB7" w:rsidRPr="00A20DA7">
        <w:rPr>
          <w:rFonts w:ascii="Times New Roman" w:eastAsia="Times New Roman" w:hAnsi="Times New Roman" w:cs="Times New Roman"/>
          <w:b/>
          <w:bCs/>
          <w:color w:val="000000" w:themeColor="text1"/>
          <w:sz w:val="28"/>
          <w:szCs w:val="28"/>
          <w:lang w:eastAsia="ru-RU"/>
        </w:rPr>
        <w:t>ГИА</w:t>
      </w:r>
    </w:p>
    <w:p w14:paraId="66337533" w14:textId="0A801625" w:rsidR="000D3EB7" w:rsidRPr="00A20DA7" w:rsidRDefault="000D3EB7" w:rsidP="000D3EB7">
      <w:pPr>
        <w:shd w:val="clear" w:color="auto" w:fill="FFFFFF"/>
        <w:spacing w:after="0" w:line="270" w:lineRule="atLeast"/>
        <w:jc w:val="center"/>
        <w:outlineLvl w:val="2"/>
        <w:rPr>
          <w:rFonts w:ascii="Times New Roman" w:eastAsia="Times New Roman" w:hAnsi="Times New Roman" w:cs="Times New Roman"/>
          <w:b/>
          <w:bCs/>
          <w:color w:val="000000" w:themeColor="text1"/>
          <w:sz w:val="28"/>
          <w:szCs w:val="28"/>
          <w:lang w:eastAsia="ru-RU"/>
        </w:rPr>
      </w:pPr>
      <w:r w:rsidRPr="00A20DA7">
        <w:rPr>
          <w:rFonts w:ascii="Times New Roman" w:eastAsia="Times New Roman" w:hAnsi="Times New Roman" w:cs="Times New Roman"/>
          <w:b/>
          <w:bCs/>
          <w:color w:val="000000" w:themeColor="text1"/>
          <w:sz w:val="28"/>
          <w:szCs w:val="28"/>
          <w:lang w:eastAsia="ru-RU"/>
        </w:rPr>
        <w:t xml:space="preserve"> </w:t>
      </w:r>
    </w:p>
    <w:p w14:paraId="5F2422E1"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934063">
        <w:rPr>
          <w:rFonts w:ascii="Times New Roman" w:eastAsia="Times New Roman" w:hAnsi="Times New Roman" w:cs="Times New Roman"/>
          <w:color w:val="333333"/>
          <w:sz w:val="24"/>
          <w:szCs w:val="24"/>
          <w:lang w:eastAsia="ru-RU"/>
        </w:rPr>
        <w:t>98</w:t>
      </w:r>
      <w:r w:rsidRPr="00A20DA7">
        <w:rPr>
          <w:rFonts w:ascii="Times New Roman" w:eastAsia="Times New Roman" w:hAnsi="Times New Roman" w:cs="Times New Roman"/>
          <w:color w:val="000000" w:themeColor="text1"/>
          <w:sz w:val="24"/>
          <w:szCs w:val="24"/>
          <w:lang w:eastAsia="ru-RU"/>
        </w:rPr>
        <w:t>.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085B0D86"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282283DB"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4F29288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 xml:space="preserve">Апелляционная комиссия не рассматривает записи в черновиках и </w:t>
      </w:r>
      <w:proofErr w:type="gramStart"/>
      <w:r w:rsidRPr="00A20DA7">
        <w:rPr>
          <w:rFonts w:ascii="Times New Roman" w:eastAsia="Times New Roman" w:hAnsi="Times New Roman" w:cs="Times New Roman"/>
          <w:color w:val="000000" w:themeColor="text1"/>
          <w:sz w:val="24"/>
          <w:szCs w:val="24"/>
          <w:lang w:eastAsia="ru-RU"/>
        </w:rPr>
        <w:t>на</w:t>
      </w:r>
      <w:proofErr w:type="gramEnd"/>
      <w:r w:rsidRPr="00A20DA7">
        <w:rPr>
          <w:rFonts w:ascii="Times New Roman" w:eastAsia="Times New Roman" w:hAnsi="Times New Roman" w:cs="Times New Roman"/>
          <w:color w:val="000000" w:themeColor="text1"/>
          <w:sz w:val="24"/>
          <w:szCs w:val="24"/>
          <w:lang w:eastAsia="ru-RU"/>
        </w:rPr>
        <w:t xml:space="preserve"> </w:t>
      </w:r>
      <w:proofErr w:type="gramStart"/>
      <w:r w:rsidRPr="00A20DA7">
        <w:rPr>
          <w:rFonts w:ascii="Times New Roman" w:eastAsia="Times New Roman" w:hAnsi="Times New Roman" w:cs="Times New Roman"/>
          <w:color w:val="000000" w:themeColor="text1"/>
          <w:sz w:val="24"/>
          <w:szCs w:val="24"/>
          <w:lang w:eastAsia="ru-RU"/>
        </w:rPr>
        <w:t>КИМ</w:t>
      </w:r>
      <w:proofErr w:type="gramEnd"/>
      <w:r w:rsidRPr="00A20DA7">
        <w:rPr>
          <w:rFonts w:ascii="Times New Roman" w:eastAsia="Times New Roman" w:hAnsi="Times New Roman" w:cs="Times New Roman"/>
          <w:color w:val="000000" w:themeColor="text1"/>
          <w:sz w:val="24"/>
          <w:szCs w:val="24"/>
          <w:lang w:eastAsia="ru-RU"/>
        </w:rPr>
        <w:t xml:space="preserve"> в качестве материалов апелляции о несогласии с выставленными баллами.</w:t>
      </w:r>
    </w:p>
    <w:p w14:paraId="79056157"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 xml:space="preserve">101. Апелляционная комиссия не </w:t>
      </w:r>
      <w:proofErr w:type="gramStart"/>
      <w:r w:rsidRPr="00A20DA7">
        <w:rPr>
          <w:rFonts w:ascii="Times New Roman" w:eastAsia="Times New Roman" w:hAnsi="Times New Roman" w:cs="Times New Roman"/>
          <w:color w:val="000000" w:themeColor="text1"/>
          <w:sz w:val="24"/>
          <w:szCs w:val="24"/>
          <w:lang w:eastAsia="ru-RU"/>
        </w:rPr>
        <w:t>позднее</w:t>
      </w:r>
      <w:proofErr w:type="gramEnd"/>
      <w:r w:rsidRPr="00A20DA7">
        <w:rPr>
          <w:rFonts w:ascii="Times New Roman" w:eastAsia="Times New Roman" w:hAnsi="Times New Roman" w:cs="Times New Roman"/>
          <w:color w:val="000000" w:themeColor="text1"/>
          <w:sz w:val="24"/>
          <w:szCs w:val="24"/>
          <w:lang w:eastAsia="ru-RU"/>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E7448AE"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 xml:space="preserve">102. </w:t>
      </w:r>
      <w:proofErr w:type="gramStart"/>
      <w:r w:rsidRPr="00A20DA7">
        <w:rPr>
          <w:rFonts w:ascii="Times New Roman" w:eastAsia="Times New Roman" w:hAnsi="Times New Roman" w:cs="Times New Roman"/>
          <w:color w:val="000000" w:themeColor="text1"/>
          <w:sz w:val="24"/>
          <w:szCs w:val="24"/>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r w:rsidRPr="00A20DA7">
        <w:rPr>
          <w:rFonts w:ascii="Times New Roman" w:eastAsia="Times New Roman" w:hAnsi="Times New Roman" w:cs="Times New Roman"/>
          <w:color w:val="000000" w:themeColor="text1"/>
          <w:sz w:val="24"/>
          <w:szCs w:val="24"/>
          <w:lang w:eastAsia="ru-RU"/>
        </w:rPr>
        <w:t>).</w:t>
      </w:r>
    </w:p>
    <w:p w14:paraId="2E1521A4"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103. При рассмотрении апелляции также могут присутствовать:</w:t>
      </w:r>
    </w:p>
    <w:p w14:paraId="7BB84FAA"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 члены ГЭК - по решению председателя ГЭК;</w:t>
      </w:r>
    </w:p>
    <w:p w14:paraId="68D52AB6"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2) аккредитованные общественные наблюдатели;</w:t>
      </w:r>
    </w:p>
    <w:p w14:paraId="54D46EFE"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4B2EF2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 xml:space="preserve">4) </w:t>
      </w:r>
      <w:proofErr w:type="spellStart"/>
      <w:r w:rsidRPr="00A20DA7">
        <w:rPr>
          <w:rFonts w:ascii="Times New Roman" w:eastAsia="Times New Roman" w:hAnsi="Times New Roman" w:cs="Times New Roman"/>
          <w:color w:val="000000" w:themeColor="text1"/>
          <w:sz w:val="24"/>
          <w:szCs w:val="24"/>
          <w:lang w:eastAsia="ru-RU"/>
        </w:rPr>
        <w:t>сурдопереводчик</w:t>
      </w:r>
      <w:proofErr w:type="spellEnd"/>
      <w:r w:rsidRPr="00A20DA7">
        <w:rPr>
          <w:rFonts w:ascii="Times New Roman" w:eastAsia="Times New Roman" w:hAnsi="Times New Roman" w:cs="Times New Roman"/>
          <w:color w:val="000000" w:themeColor="text1"/>
          <w:sz w:val="24"/>
          <w:szCs w:val="24"/>
          <w:lang w:eastAsia="ru-RU"/>
        </w:rPr>
        <w:t xml:space="preserve">, </w:t>
      </w:r>
      <w:proofErr w:type="spellStart"/>
      <w:r w:rsidRPr="00A20DA7">
        <w:rPr>
          <w:rFonts w:ascii="Times New Roman" w:eastAsia="Times New Roman" w:hAnsi="Times New Roman" w:cs="Times New Roman"/>
          <w:color w:val="000000" w:themeColor="text1"/>
          <w:sz w:val="24"/>
          <w:szCs w:val="24"/>
          <w:lang w:eastAsia="ru-RU"/>
        </w:rPr>
        <w:t>тифлопереводчик</w:t>
      </w:r>
      <w:proofErr w:type="spellEnd"/>
      <w:r w:rsidRPr="00A20DA7">
        <w:rPr>
          <w:rFonts w:ascii="Times New Roman" w:eastAsia="Times New Roman" w:hAnsi="Times New Roman" w:cs="Times New Roman"/>
          <w:color w:val="000000" w:themeColor="text1"/>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0F8E5037"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61A810BD"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104. Рассмотрение апелляции проводится в спокойной и доброжелательной обстановке.</w:t>
      </w:r>
    </w:p>
    <w:p w14:paraId="07971CC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4B38746F"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lastRenderedPageBreak/>
        <w:t>105. Апелляцию о нарушении Порядка (за исключением случаев, установленных </w:t>
      </w:r>
      <w:hyperlink r:id="rId7" w:anchor="1100"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100</w:t>
        </w:r>
      </w:hyperlink>
      <w:r w:rsidRPr="00A20DA7">
        <w:rPr>
          <w:rFonts w:ascii="Times New Roman" w:eastAsia="Times New Roman" w:hAnsi="Times New Roman" w:cs="Times New Roman"/>
          <w:color w:val="000000" w:themeColor="text1"/>
          <w:sz w:val="24"/>
          <w:szCs w:val="24"/>
          <w:lang w:eastAsia="ru-RU"/>
        </w:rPr>
        <w:t> Порядка) участник экзамена подает в день проведения экзамена по соответствующему учебному предмету члену ГЭК, не покидая ППЭ.</w:t>
      </w:r>
    </w:p>
    <w:p w14:paraId="4FD79440"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A20DA7">
        <w:rPr>
          <w:rFonts w:ascii="Times New Roman" w:eastAsia="Times New Roman" w:hAnsi="Times New Roman" w:cs="Times New Roman"/>
          <w:color w:val="000000" w:themeColor="text1"/>
          <w:sz w:val="24"/>
          <w:szCs w:val="24"/>
          <w:lang w:eastAsia="ru-RU"/>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1C5F317F"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0AFA8B3D"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 об отклонении апелляции;</w:t>
      </w:r>
    </w:p>
    <w:p w14:paraId="48BC5C2E"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2) об удовлетворении апелляции.</w:t>
      </w:r>
    </w:p>
    <w:p w14:paraId="7D293350"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8" w:anchor="111153" w:history="1">
        <w:r w:rsidRPr="00A20DA7">
          <w:rPr>
            <w:rFonts w:ascii="Times New Roman" w:eastAsia="Times New Roman" w:hAnsi="Times New Roman" w:cs="Times New Roman"/>
            <w:color w:val="000000" w:themeColor="text1"/>
            <w:sz w:val="24"/>
            <w:szCs w:val="24"/>
            <w:u w:val="single"/>
            <w:bdr w:val="none" w:sz="0" w:space="0" w:color="auto" w:frame="1"/>
            <w:vertAlign w:val="superscript"/>
            <w:lang w:eastAsia="ru-RU"/>
          </w:rPr>
          <w:t>53</w:t>
        </w:r>
      </w:hyperlink>
      <w:r w:rsidRPr="00A20DA7">
        <w:rPr>
          <w:rFonts w:ascii="Times New Roman" w:eastAsia="Times New Roman" w:hAnsi="Times New Roman" w:cs="Times New Roman"/>
          <w:color w:val="000000" w:themeColor="text1"/>
          <w:sz w:val="24"/>
          <w:szCs w:val="24"/>
          <w:lang w:eastAsia="ru-RU"/>
        </w:rPr>
        <w:t>.</w:t>
      </w:r>
      <w:proofErr w:type="gramEnd"/>
    </w:p>
    <w:p w14:paraId="30A285C4"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65F273DD"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106. Апелляция о несогласии с выставленными баллами, в том числе по результатам перепроверки экзаменационной работы в соответствии с </w:t>
      </w:r>
      <w:hyperlink r:id="rId9" w:anchor="1088"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88</w:t>
        </w:r>
      </w:hyperlink>
      <w:r w:rsidRPr="00A20DA7">
        <w:rPr>
          <w:rFonts w:ascii="Times New Roman" w:eastAsia="Times New Roman" w:hAnsi="Times New Roman" w:cs="Times New Roman"/>
          <w:color w:val="000000" w:themeColor="text1"/>
          <w:sz w:val="24"/>
          <w:szCs w:val="24"/>
          <w:lang w:eastAsia="ru-RU"/>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2153BFF3"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10" w:anchor="1099"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99</w:t>
        </w:r>
      </w:hyperlink>
      <w:r w:rsidRPr="00A20DA7">
        <w:rPr>
          <w:rFonts w:ascii="Times New Roman" w:eastAsia="Times New Roman" w:hAnsi="Times New Roman" w:cs="Times New Roman"/>
          <w:color w:val="000000" w:themeColor="text1"/>
          <w:sz w:val="24"/>
          <w:szCs w:val="24"/>
          <w:lang w:eastAsia="ru-RU"/>
        </w:rPr>
        <w:t> Порядка).</w:t>
      </w:r>
    </w:p>
    <w:p w14:paraId="24F79EE0"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11" w:anchor="1099"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99</w:t>
        </w:r>
      </w:hyperlink>
      <w:r w:rsidRPr="00A20DA7">
        <w:rPr>
          <w:rFonts w:ascii="Times New Roman" w:eastAsia="Times New Roman" w:hAnsi="Times New Roman" w:cs="Times New Roman"/>
          <w:color w:val="000000" w:themeColor="text1"/>
          <w:sz w:val="24"/>
          <w:szCs w:val="24"/>
          <w:lang w:eastAsia="ru-RU"/>
        </w:rPr>
        <w:t> Порядка).</w:t>
      </w:r>
      <w:proofErr w:type="gramEnd"/>
    </w:p>
    <w:p w14:paraId="4A96C9C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15C86975"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107. До заседания апелляционной комиссии по рассмотрению апелляции о несогласии с выставленными баллами апелляционная комиссия:</w:t>
      </w:r>
    </w:p>
    <w:p w14:paraId="448278E2"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lastRenderedPageBreak/>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14:paraId="5C644599"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14:paraId="0DCEF413"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5776292F"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A20DA7">
        <w:rPr>
          <w:rFonts w:ascii="Times New Roman" w:eastAsia="Times New Roman" w:hAnsi="Times New Roman" w:cs="Times New Roman"/>
          <w:color w:val="000000" w:themeColor="text1"/>
          <w:sz w:val="24"/>
          <w:szCs w:val="24"/>
          <w:lang w:eastAsia="ru-RU"/>
        </w:rPr>
        <w:t xml:space="preserve"> на конкретный критерий оценивания, содержанию которого соответствует выставляемый им первичный балл (далее - заключение).</w:t>
      </w:r>
    </w:p>
    <w:p w14:paraId="6B16D753"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664F7087"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bookmarkStart w:id="0" w:name="1108"/>
      <w:bookmarkStart w:id="1" w:name="1"/>
      <w:bookmarkEnd w:id="0"/>
      <w:bookmarkEnd w:id="1"/>
      <w:r w:rsidRPr="00A20DA7">
        <w:rPr>
          <w:rFonts w:ascii="Times New Roman" w:eastAsia="Times New Roman" w:hAnsi="Times New Roman" w:cs="Times New Roman"/>
          <w:color w:val="000000" w:themeColor="text1"/>
          <w:sz w:val="24"/>
          <w:szCs w:val="24"/>
          <w:lang w:eastAsia="ru-RU"/>
        </w:rPr>
        <w:t>108. При рассмотрении апелляции о несогласии с выставленными баллами на заседании апелляционной комиссии материалы, указанные в </w:t>
      </w:r>
      <w:hyperlink r:id="rId12" w:anchor="11071"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подпункте 1 пункта 107</w:t>
        </w:r>
      </w:hyperlink>
      <w:r w:rsidRPr="00A20DA7">
        <w:rPr>
          <w:rFonts w:ascii="Times New Roman" w:eastAsia="Times New Roman" w:hAnsi="Times New Roman" w:cs="Times New Roman"/>
          <w:color w:val="000000" w:themeColor="text1"/>
          <w:sz w:val="24"/>
          <w:szCs w:val="24"/>
          <w:lang w:eastAsia="ru-RU"/>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109CE21B"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В случае, установленном </w:t>
      </w:r>
      <w:hyperlink r:id="rId13" w:anchor="1099"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99</w:t>
        </w:r>
      </w:hyperlink>
      <w:r w:rsidRPr="00A20DA7">
        <w:rPr>
          <w:rFonts w:ascii="Times New Roman" w:eastAsia="Times New Roman" w:hAnsi="Times New Roman" w:cs="Times New Roman"/>
          <w:color w:val="000000" w:themeColor="text1"/>
          <w:sz w:val="24"/>
          <w:szCs w:val="24"/>
          <w:lang w:eastAsia="ru-RU"/>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4" w:anchor="1106"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106</w:t>
        </w:r>
      </w:hyperlink>
      <w:r w:rsidRPr="00A20DA7">
        <w:rPr>
          <w:rFonts w:ascii="Times New Roman" w:eastAsia="Times New Roman" w:hAnsi="Times New Roman" w:cs="Times New Roman"/>
          <w:color w:val="000000" w:themeColor="text1"/>
          <w:sz w:val="24"/>
          <w:szCs w:val="24"/>
          <w:lang w:eastAsia="ru-RU"/>
        </w:rPr>
        <w:t> Порядка,</w:t>
      </w:r>
    </w:p>
    <w:p w14:paraId="6D9AF155"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w:t>
      </w:r>
      <w:r w:rsidRPr="00A20DA7">
        <w:rPr>
          <w:rFonts w:ascii="Times New Roman" w:eastAsia="Times New Roman" w:hAnsi="Times New Roman" w:cs="Times New Roman"/>
          <w:color w:val="000000" w:themeColor="text1"/>
          <w:sz w:val="24"/>
          <w:szCs w:val="24"/>
          <w:lang w:eastAsia="ru-RU"/>
        </w:rPr>
        <w:lastRenderedPageBreak/>
        <w:t>дополнительных бланков, файлы, содержащие его ответы на задания КИМ, в том числе файлы с цифровой аудиозаписью его устных ответов.</w:t>
      </w:r>
    </w:p>
    <w:p w14:paraId="6C294DAD"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proofErr w:type="gramStart"/>
      <w:r w:rsidRPr="00A20DA7">
        <w:rPr>
          <w:rFonts w:ascii="Times New Roman" w:eastAsia="Times New Roman" w:hAnsi="Times New Roman" w:cs="Times New Roman"/>
          <w:color w:val="000000" w:themeColor="text1"/>
          <w:sz w:val="24"/>
          <w:szCs w:val="24"/>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5" w:anchor="1102" w:history="1">
        <w:r w:rsidRPr="00A20DA7">
          <w:rPr>
            <w:rFonts w:ascii="Times New Roman" w:eastAsia="Times New Roman" w:hAnsi="Times New Roman" w:cs="Times New Roman"/>
            <w:color w:val="000000" w:themeColor="text1"/>
            <w:sz w:val="24"/>
            <w:szCs w:val="24"/>
            <w:u w:val="single"/>
            <w:bdr w:val="none" w:sz="0" w:space="0" w:color="auto" w:frame="1"/>
            <w:lang w:eastAsia="ru-RU"/>
          </w:rPr>
          <w:t>пунктом 102</w:t>
        </w:r>
      </w:hyperlink>
      <w:r w:rsidRPr="00A20DA7">
        <w:rPr>
          <w:rFonts w:ascii="Times New Roman" w:eastAsia="Times New Roman" w:hAnsi="Times New Roman" w:cs="Times New Roman"/>
          <w:color w:val="000000" w:themeColor="text1"/>
          <w:sz w:val="24"/>
          <w:szCs w:val="24"/>
          <w:lang w:eastAsia="ru-RU"/>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A20DA7">
        <w:rPr>
          <w:rFonts w:ascii="Times New Roman" w:eastAsia="Times New Roman" w:hAnsi="Times New Roman" w:cs="Times New Roman"/>
          <w:color w:val="000000" w:themeColor="text1"/>
          <w:sz w:val="24"/>
          <w:szCs w:val="24"/>
          <w:lang w:eastAsia="ru-RU"/>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0795D32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109. По результатам рассмотрения апелляции о несогласии с выставленными баллами апелляционная комиссия принимает одно из решений:</w:t>
      </w:r>
    </w:p>
    <w:p w14:paraId="19D2F310"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 об отклонении апелляции;</w:t>
      </w:r>
      <w:bookmarkStart w:id="2" w:name="_GoBack"/>
      <w:bookmarkEnd w:id="2"/>
    </w:p>
    <w:p w14:paraId="4CC36981"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2) об удовлетворении апелляции.</w:t>
      </w:r>
    </w:p>
    <w:p w14:paraId="7FB358A5"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1E5CA988"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63E075FC"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351B2B80" w14:textId="77777777" w:rsidR="000D3EB7" w:rsidRPr="00A20DA7" w:rsidRDefault="000D3EB7" w:rsidP="00A20DA7">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A20DA7">
        <w:rPr>
          <w:rFonts w:ascii="Times New Roman" w:eastAsia="Times New Roman" w:hAnsi="Times New Roman" w:cs="Times New Roman"/>
          <w:color w:val="000000" w:themeColor="text1"/>
          <w:sz w:val="24"/>
          <w:szCs w:val="24"/>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r w:rsidRPr="00A20DA7">
        <w:rPr>
          <w:rStyle w:val="a5"/>
          <w:rFonts w:ascii="Times New Roman" w:eastAsia="Times New Roman" w:hAnsi="Times New Roman" w:cs="Times New Roman"/>
          <w:color w:val="000000" w:themeColor="text1"/>
          <w:sz w:val="24"/>
          <w:szCs w:val="24"/>
          <w:lang w:eastAsia="ru-RU"/>
        </w:rPr>
        <w:footnoteReference w:id="1"/>
      </w:r>
    </w:p>
    <w:p w14:paraId="6E609701" w14:textId="77777777" w:rsidR="00E71BCB" w:rsidRPr="00A20DA7" w:rsidRDefault="00E71BCB" w:rsidP="00A20DA7">
      <w:pPr>
        <w:spacing w:after="0" w:line="276" w:lineRule="auto"/>
        <w:jc w:val="both"/>
        <w:rPr>
          <w:rFonts w:ascii="Times New Roman" w:hAnsi="Times New Roman" w:cs="Times New Roman"/>
          <w:color w:val="000000" w:themeColor="text1"/>
          <w:sz w:val="24"/>
          <w:szCs w:val="24"/>
        </w:rPr>
      </w:pPr>
    </w:p>
    <w:sectPr w:rsidR="00E71BCB" w:rsidRPr="00A20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553D" w14:textId="77777777" w:rsidR="000D3EB7" w:rsidRDefault="000D3EB7" w:rsidP="000D3EB7">
      <w:pPr>
        <w:spacing w:after="0" w:line="240" w:lineRule="auto"/>
      </w:pPr>
      <w:r>
        <w:separator/>
      </w:r>
    </w:p>
  </w:endnote>
  <w:endnote w:type="continuationSeparator" w:id="0">
    <w:p w14:paraId="5664E14B" w14:textId="77777777" w:rsidR="000D3EB7" w:rsidRDefault="000D3EB7" w:rsidP="000D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5FF06" w14:textId="77777777" w:rsidR="000D3EB7" w:rsidRDefault="000D3EB7" w:rsidP="000D3EB7">
      <w:pPr>
        <w:spacing w:after="0" w:line="240" w:lineRule="auto"/>
      </w:pPr>
      <w:r>
        <w:separator/>
      </w:r>
    </w:p>
  </w:footnote>
  <w:footnote w:type="continuationSeparator" w:id="0">
    <w:p w14:paraId="39F98749" w14:textId="77777777" w:rsidR="000D3EB7" w:rsidRDefault="000D3EB7" w:rsidP="000D3EB7">
      <w:pPr>
        <w:spacing w:after="0" w:line="240" w:lineRule="auto"/>
      </w:pPr>
      <w:r>
        <w:continuationSeparator/>
      </w:r>
    </w:p>
  </w:footnote>
  <w:footnote w:id="1">
    <w:p w14:paraId="5B6206E5" w14:textId="77777777" w:rsidR="000D3EB7" w:rsidRPr="000D3EB7" w:rsidRDefault="000D3EB7">
      <w:pPr>
        <w:pStyle w:val="a3"/>
        <w:rPr>
          <w:sz w:val="18"/>
          <w:szCs w:val="18"/>
        </w:rPr>
      </w:pPr>
      <w:r>
        <w:rPr>
          <w:rStyle w:val="a5"/>
        </w:rPr>
        <w:footnoteRef/>
      </w:r>
      <w:r>
        <w:t xml:space="preserve"> </w:t>
      </w:r>
      <w:r w:rsidRPr="000D3EB7">
        <w:rPr>
          <w:sz w:val="18"/>
          <w:szCs w:val="18"/>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B7"/>
    <w:rsid w:val="00032E71"/>
    <w:rsid w:val="000D3EB7"/>
    <w:rsid w:val="006C6C9B"/>
    <w:rsid w:val="00934063"/>
    <w:rsid w:val="009B1217"/>
    <w:rsid w:val="00A20DA7"/>
    <w:rsid w:val="00E0750F"/>
    <w:rsid w:val="00E7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3EB7"/>
    <w:pPr>
      <w:spacing w:after="0" w:line="240" w:lineRule="auto"/>
    </w:pPr>
    <w:rPr>
      <w:sz w:val="20"/>
      <w:szCs w:val="20"/>
    </w:rPr>
  </w:style>
  <w:style w:type="character" w:customStyle="1" w:styleId="a4">
    <w:name w:val="Текст сноски Знак"/>
    <w:basedOn w:val="a0"/>
    <w:link w:val="a3"/>
    <w:uiPriority w:val="99"/>
    <w:semiHidden/>
    <w:rsid w:val="000D3EB7"/>
    <w:rPr>
      <w:sz w:val="20"/>
      <w:szCs w:val="20"/>
    </w:rPr>
  </w:style>
  <w:style w:type="character" w:styleId="a5">
    <w:name w:val="footnote reference"/>
    <w:basedOn w:val="a0"/>
    <w:uiPriority w:val="99"/>
    <w:semiHidden/>
    <w:unhideWhenUsed/>
    <w:rsid w:val="000D3E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3EB7"/>
    <w:pPr>
      <w:spacing w:after="0" w:line="240" w:lineRule="auto"/>
    </w:pPr>
    <w:rPr>
      <w:sz w:val="20"/>
      <w:szCs w:val="20"/>
    </w:rPr>
  </w:style>
  <w:style w:type="character" w:customStyle="1" w:styleId="a4">
    <w:name w:val="Текст сноски Знак"/>
    <w:basedOn w:val="a0"/>
    <w:link w:val="a3"/>
    <w:uiPriority w:val="99"/>
    <w:semiHidden/>
    <w:rsid w:val="000D3EB7"/>
    <w:rPr>
      <w:sz w:val="20"/>
      <w:szCs w:val="20"/>
    </w:rPr>
  </w:style>
  <w:style w:type="character" w:styleId="a5">
    <w:name w:val="footnote reference"/>
    <w:basedOn w:val="a0"/>
    <w:uiPriority w:val="99"/>
    <w:semiHidden/>
    <w:unhideWhenUsed/>
    <w:rsid w:val="000D3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3" Type="http://schemas.openxmlformats.org/officeDocument/2006/relationships/settings" Target="settings.xml"/><Relationship Id="rId7"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arant.ru/products/ipo/prime/doc/406782488/" TargetMode="External"/><Relationship Id="rId5" Type="http://schemas.openxmlformats.org/officeDocument/2006/relationships/footnotes" Target="footnotes.xml"/><Relationship Id="rId15" Type="http://schemas.openxmlformats.org/officeDocument/2006/relationships/hyperlink" Target="https://www.garant.ru/products/ipo/prime/doc/406782488/" TargetMode="External"/><Relationship Id="rId10" Type="http://schemas.openxmlformats.org/officeDocument/2006/relationships/hyperlink" Target="https://www.garant.ru/products/ipo/prime/doc/406782488/" TargetMode="External"/><Relationship Id="rId4" Type="http://schemas.openxmlformats.org/officeDocument/2006/relationships/webSettings" Target="webSettings.xml"/><Relationship Id="rId9" Type="http://schemas.openxmlformats.org/officeDocument/2006/relationships/hyperlink" Target="https://www.garant.ru/products/ipo/prime/doc/406782488/" TargetMode="External"/><Relationship Id="rId14" Type="http://schemas.openxmlformats.org/officeDocument/2006/relationships/hyperlink" Target="https://www.garant.ru/products/ipo/prime/doc/40678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Sekretary-2</cp:lastModifiedBy>
  <cp:revision>3</cp:revision>
  <dcterms:created xsi:type="dcterms:W3CDTF">2025-06-25T07:51:00Z</dcterms:created>
  <dcterms:modified xsi:type="dcterms:W3CDTF">2025-06-25T09:17:00Z</dcterms:modified>
</cp:coreProperties>
</file>